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4A6413" w:rsidP="0040249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Бобров Степан </w:t>
            </w:r>
            <w:r w:rsidR="0040249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Иванович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02490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2020-03-29T11:39:00Z</dcterms:modified>
</cp:coreProperties>
</file>